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A5A1" w14:textId="77777777" w:rsidR="004F4768" w:rsidRDefault="004F4768">
      <w:bookmarkStart w:id="0" w:name="section"/>
    </w:p>
    <w:p w14:paraId="02FFE2B7" w14:textId="77777777" w:rsidR="004F4768" w:rsidRDefault="007B656C">
      <w:r>
        <w:t>DATE CREATED: Apr19,2024</w:t>
      </w:r>
      <w:r>
        <w:br/>
        <w:t>Number of Observations: 521</w:t>
      </w:r>
      <w:r>
        <w:br/>
        <w:t>Number of Variables: 19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987"/>
        <w:gridCol w:w="5005"/>
        <w:gridCol w:w="1871"/>
        <w:gridCol w:w="1249"/>
        <w:gridCol w:w="1113"/>
        <w:gridCol w:w="1032"/>
        <w:gridCol w:w="1595"/>
        <w:gridCol w:w="1090"/>
      </w:tblGrid>
      <w:tr w:rsidR="004F4768" w14:paraId="668FB183" w14:textId="77777777" w:rsidTr="007B656C">
        <w:trPr>
          <w:tblHeader/>
        </w:trPr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361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C46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83E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F32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6FF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1FF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FF6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A5C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4F4768" w14:paraId="4D097F97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CFD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88D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146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19D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7C0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2A94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4A47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6FD1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78CDFD1B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957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558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47AA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F56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AC62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521(100)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0824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0D12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23AA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58EAEDBB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F88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5FD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 ID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53D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VISITID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E9F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Initial Entry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B5E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521(100)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F41F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329C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7359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41508142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F4F3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FC33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 Sequence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F5E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VISITSEQ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CD21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2A8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521(100)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5815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EBB4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3C91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6E8BE0E1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A11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8AB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Page Sequence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26CA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PAGESEQ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DAB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7553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521(100)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B8A2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03A2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1D17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1D040AB8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1CB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420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Consent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9EF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FONT2_CONSENT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722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(Empty string)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F94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22(4.2)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AC7F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7B9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7E8F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6F8F9104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F55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8CF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Consent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783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FONT2_CONSENT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587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59D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75(14.4)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BAB7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D300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7CA4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5B083CB2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46C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2C8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Consent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C282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FONT2_CONSENT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C70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FEB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424(81.4)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6BFE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E91B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9822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21D1FB7F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6BA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C51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Eligibility Status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8C6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FONT2_F100_ELIG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E44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3D0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9(1.7)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E2FE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1ABE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B73A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7D98895C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FF4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B70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Eligibility Status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D4F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FONT2_F100_ELIG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F0A2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35B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512(98.3)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9689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AC34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4E0F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57B8B56F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8E9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61D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subject/family agrees to annual collection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885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ANNUAL_COLL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6E9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(Empty string)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6F9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521(100)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3672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829C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9AA7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464E65B1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4913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515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2 - Reported as Lost-to-F/U on F101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597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F101_LOSTTOFU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0DA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(Empty string)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E7A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9(1.7)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FB0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79E7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8EA1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1E8B8363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21C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870A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2 - Reported as Lost-to-F/U on F101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69D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F101_LOSTTOFU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3E5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8D02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499(95.8)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48A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76EC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102F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04C7A4B1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3C2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F0D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2 - Reported as Lost-to-F/U on F101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7E2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F101_LOSTTOFU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10D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887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13(2.5)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AD00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BC6F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A339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1DC89A31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CBC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807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Consent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DE2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FONT3_CONSENT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22E2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(Empty string)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121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169(32.4)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DBF6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63E0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7DB6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29212164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12E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191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Consent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5F0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FONT3_CONSENT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309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C84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35(6.7)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1BB1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60D1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1429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3D635DD3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D18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AD23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Consent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FF0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FONT3_CONSENT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0F0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5F8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317(60.8)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B1C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6441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C000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4B2A74D6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34B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27F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ADEPT FF04 Form Completed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87B2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FF04_ADEPT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792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9D91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298(85.4)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99B1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0939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9518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14E4CE96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1BA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63F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ADEPT FF04 Form Completed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6243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FF04_ADEPT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622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6CC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51(14.6)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E1E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76AB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3040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4AB09B7B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00F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17F1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ADEPT FF04 Form Completed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36F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FF04_ADEPT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875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AD6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172(NA)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4D58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E54A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03D4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417FD8A4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9D3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378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Follow-up form variable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E2E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FU_FORM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705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B0E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449(86.2)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215B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6ECE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D15E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05A91058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EF1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DAD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Follow-up form variable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08C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FU_FORM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B8F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EE6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72(13.8)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77C6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D41A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B5E0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4F4768" w14:paraId="73A9A96D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BBC3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0B3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1 Enrollment Age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936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ENROLLAge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910C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21A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521(100)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92A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11.86(3.4)</w:t>
            </w: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1D3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11.26(8.95,14.54)</w:t>
            </w: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9D92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6.35,18.95</w:t>
            </w:r>
          </w:p>
        </w:tc>
      </w:tr>
      <w:tr w:rsidR="004F4768" w14:paraId="39B64AB8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AE1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723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Eligibility/Enrollment F100 Assessment Age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1F4A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F100_FFEE_ASSESSAge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3107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968A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521(100)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DA1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18.42(3.4)</w:t>
            </w: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7EE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17.81(15.56,21.15)</w:t>
            </w: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AE73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12.79,25.72</w:t>
            </w:r>
          </w:p>
        </w:tc>
      </w:tr>
      <w:tr w:rsidR="004F4768" w14:paraId="15A4527E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3FA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9B3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Consent Age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634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FONT2_CONSENTAge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844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DB7A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424(81)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A8B1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18.4(3.4)</w:t>
            </w: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722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17.86(15.57,20.98)</w:t>
            </w: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2D6B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12.96,25.83</w:t>
            </w:r>
          </w:p>
        </w:tc>
      </w:tr>
      <w:tr w:rsidR="004F4768" w14:paraId="37185D25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5F7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8B8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Withdrawal Age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D3C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WDRAWAge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0876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580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EBF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17.52(1.2)</w:t>
            </w: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95F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18.13(17.13,18.2)</w:t>
            </w: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C46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16.14,18.28</w:t>
            </w:r>
          </w:p>
        </w:tc>
      </w:tr>
      <w:tr w:rsidR="004F4768" w14:paraId="15C24A82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1C3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90F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Consent Age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5BC2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FONT3_CONSENTAge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E223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4F8E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317(61)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B135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20.94(3.5)</w:t>
            </w: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280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20.46(17.94,23.62)</w:t>
            </w: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66D8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15.67,28.6</w:t>
            </w:r>
          </w:p>
        </w:tc>
      </w:tr>
      <w:tr w:rsidR="004F4768" w14:paraId="57734BDF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0F21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3DC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Visit 3 Assessment Age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DE7F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FF03_ASSESSAge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9ADB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B2E7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521(100)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1E9D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20.57(3.4)</w:t>
            </w: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269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19.99(17.67,23.41)</w:t>
            </w: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E8C9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14.96,27.83</w:t>
            </w:r>
          </w:p>
        </w:tc>
      </w:tr>
      <w:tr w:rsidR="004F4768" w14:paraId="519209FB" w14:textId="77777777" w:rsidTr="007B656C">
        <w:tc>
          <w:tcPr>
            <w:tcW w:w="35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969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</w:t>
            </w:r>
          </w:p>
        </w:tc>
        <w:tc>
          <w:tcPr>
            <w:tcW w:w="17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B38A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2 - Age at previously reported heart transplant (if applicable)</w:t>
            </w:r>
          </w:p>
        </w:tc>
        <w:tc>
          <w:tcPr>
            <w:tcW w:w="67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6DB4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HTAge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718C" w14:textId="77777777" w:rsidR="004F4768" w:rsidRDefault="004F47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FBEC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747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16.02(3.1)</w:t>
            </w:r>
          </w:p>
        </w:tc>
        <w:tc>
          <w:tcPr>
            <w:tcW w:w="5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AF26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15.06(13.83,17.48)</w:t>
            </w:r>
          </w:p>
        </w:tc>
        <w:tc>
          <w:tcPr>
            <w:tcW w:w="39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2310" w14:textId="77777777" w:rsidR="004F4768" w:rsidRDefault="007B6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12.51,21.1</w:t>
            </w:r>
          </w:p>
        </w:tc>
      </w:tr>
      <w:bookmarkEnd w:id="0"/>
    </w:tbl>
    <w:p w14:paraId="6A95D4F9" w14:textId="77777777" w:rsidR="007B656C" w:rsidRDefault="007B656C"/>
    <w:sectPr w:rsidR="00000000" w:rsidSect="006D1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3844" w14:textId="77777777" w:rsidR="007B656C" w:rsidRDefault="007B656C">
      <w:pPr>
        <w:spacing w:after="0" w:line="240" w:lineRule="auto"/>
      </w:pPr>
      <w:r>
        <w:separator/>
      </w:r>
    </w:p>
  </w:endnote>
  <w:endnote w:type="continuationSeparator" w:id="0">
    <w:p w14:paraId="15CDBE9E" w14:textId="77777777" w:rsidR="007B656C" w:rsidRDefault="007B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42E3" w14:textId="77777777" w:rsidR="007B656C" w:rsidRDefault="007B6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9040" w14:textId="77777777" w:rsidR="007B656C" w:rsidRDefault="007B6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F333" w14:textId="77777777" w:rsidR="007B656C" w:rsidRDefault="007B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592C" w14:textId="77777777" w:rsidR="004F4768" w:rsidRDefault="007B656C">
      <w:r>
        <w:separator/>
      </w:r>
    </w:p>
  </w:footnote>
  <w:footnote w:type="continuationSeparator" w:id="0">
    <w:p w14:paraId="16315F7A" w14:textId="77777777" w:rsidR="004F4768" w:rsidRDefault="007B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82C0" w14:textId="77777777" w:rsidR="007B656C" w:rsidRDefault="007B6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6692" w14:textId="77777777" w:rsidR="007B656C" w:rsidRPr="00C770A4" w:rsidRDefault="007B656C" w:rsidP="00C770A4">
    <w:pPr>
      <w:pStyle w:val="Header"/>
      <w:jc w:val="center"/>
    </w:pPr>
    <w:r w:rsidRPr="00C770A4">
      <w:rPr>
        <w:rFonts w:ascii="Arial" w:hAnsi="Arial" w:cs="Arial"/>
        <w:b/>
        <w:bCs/>
        <w:i/>
        <w:iCs/>
        <w:color w:val="000000"/>
        <w:sz w:val="32"/>
        <w:szCs w:val="32"/>
      </w:rPr>
      <w:t>PHN F2-3 annual FU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8252" w14:textId="77777777" w:rsidR="007B656C" w:rsidRDefault="007B6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A8E89A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91689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68"/>
    <w:rsid w:val="004F4768"/>
    <w:rsid w:val="007B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AC9C"/>
  <w15:docId w15:val="{E606344B-1FBD-400F-9639-A3CBE366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2024-04-19T20:08:00Z</dcterms:created>
  <dcterms:modified xsi:type="dcterms:W3CDTF">2024-04-19T21:20:00Z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